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58C7F" w14:textId="4CA4F84F" w:rsidR="009B2156" w:rsidRPr="009571DC" w:rsidRDefault="009B2156" w:rsidP="009B2156">
      <w:pPr>
        <w:pStyle w:val="3GPPHeader"/>
        <w:spacing w:after="60"/>
        <w:rPr>
          <w:sz w:val="32"/>
          <w:szCs w:val="32"/>
        </w:rPr>
      </w:pPr>
      <w:r w:rsidRPr="00CE0424">
        <w:t>3GPP TSG-RAN WG</w:t>
      </w:r>
      <w:r>
        <w:t>2</w:t>
      </w:r>
      <w:r w:rsidRPr="00CE0424">
        <w:t xml:space="preserve"> #</w:t>
      </w:r>
      <w:r>
        <w:t>96</w:t>
      </w:r>
      <w:r w:rsidRPr="00CE0424">
        <w:tab/>
      </w:r>
      <w:r w:rsidRPr="00CE0424">
        <w:rPr>
          <w:sz w:val="32"/>
          <w:szCs w:val="32"/>
        </w:rPr>
        <w:t xml:space="preserve">Tdoc </w:t>
      </w:r>
      <w:r w:rsidR="009571DC" w:rsidRPr="009571DC">
        <w:rPr>
          <w:sz w:val="32"/>
          <w:szCs w:val="32"/>
        </w:rPr>
        <w:t>R2-168652</w:t>
      </w:r>
    </w:p>
    <w:p w14:paraId="1AEBA062" w14:textId="77777777" w:rsidR="009B2156" w:rsidRDefault="009B2156" w:rsidP="009B2156">
      <w:pPr>
        <w:pStyle w:val="CRCoverPage"/>
        <w:outlineLvl w:val="0"/>
        <w:rPr>
          <w:b/>
          <w:noProof/>
          <w:sz w:val="24"/>
        </w:rPr>
      </w:pPr>
      <w:r>
        <w:rPr>
          <w:b/>
          <w:noProof/>
          <w:sz w:val="24"/>
        </w:rPr>
        <w:t>Reno, Nevada, USA, 14</w:t>
      </w:r>
      <w:r w:rsidRPr="00317B01">
        <w:rPr>
          <w:b/>
          <w:noProof/>
          <w:sz w:val="24"/>
          <w:vertAlign w:val="superscript"/>
        </w:rPr>
        <w:t>th</w:t>
      </w:r>
      <w:r>
        <w:rPr>
          <w:b/>
          <w:noProof/>
          <w:sz w:val="24"/>
        </w:rPr>
        <w:t xml:space="preserve"> – 18</w:t>
      </w:r>
      <w:r w:rsidRPr="00317B01">
        <w:rPr>
          <w:b/>
          <w:noProof/>
          <w:sz w:val="24"/>
          <w:vertAlign w:val="superscript"/>
        </w:rPr>
        <w:t>th</w:t>
      </w:r>
      <w:r>
        <w:rPr>
          <w:b/>
          <w:noProof/>
          <w:sz w:val="24"/>
        </w:rPr>
        <w:t xml:space="preserve"> November 2016</w:t>
      </w:r>
    </w:p>
    <w:p w14:paraId="2A1FE374" w14:textId="77777777" w:rsidR="00E90E49" w:rsidRPr="00CE0424" w:rsidRDefault="00E90E49" w:rsidP="00357380">
      <w:pPr>
        <w:pStyle w:val="3GPPHeader"/>
      </w:pPr>
    </w:p>
    <w:p w14:paraId="2465B082" w14:textId="34C9C3FD" w:rsidR="00E90E49" w:rsidRPr="00E34BBD" w:rsidRDefault="00E90E49" w:rsidP="00311702">
      <w:pPr>
        <w:pStyle w:val="3GPPHeader"/>
        <w:rPr>
          <w:sz w:val="22"/>
          <w:szCs w:val="22"/>
          <w:lang w:val="en-US"/>
        </w:rPr>
      </w:pPr>
      <w:r w:rsidRPr="00E34BBD">
        <w:rPr>
          <w:sz w:val="22"/>
          <w:szCs w:val="22"/>
          <w:lang w:val="en-US"/>
        </w:rPr>
        <w:t>Agenda Item:</w:t>
      </w:r>
      <w:r w:rsidRPr="00E34BBD">
        <w:rPr>
          <w:sz w:val="22"/>
          <w:szCs w:val="22"/>
          <w:lang w:val="en-US"/>
        </w:rPr>
        <w:tab/>
      </w:r>
      <w:r w:rsidR="00E24008" w:rsidRPr="003A4AC3">
        <w:rPr>
          <w:sz w:val="22"/>
          <w:szCs w:val="22"/>
          <w:lang w:val="en-US"/>
        </w:rPr>
        <w:t>8.13.4</w:t>
      </w:r>
    </w:p>
    <w:p w14:paraId="6C313D1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02BC8F" w14:textId="7967C953" w:rsidR="00E90E49" w:rsidRPr="00CE0424" w:rsidRDefault="003D3C45" w:rsidP="00311702">
      <w:pPr>
        <w:pStyle w:val="3GPPHeader"/>
        <w:rPr>
          <w:sz w:val="22"/>
          <w:szCs w:val="22"/>
        </w:rPr>
      </w:pPr>
      <w:r>
        <w:rPr>
          <w:sz w:val="22"/>
          <w:szCs w:val="22"/>
        </w:rPr>
        <w:t>Title:</w:t>
      </w:r>
      <w:r w:rsidR="00E90E49" w:rsidRPr="00CE0424">
        <w:rPr>
          <w:sz w:val="22"/>
          <w:szCs w:val="22"/>
        </w:rPr>
        <w:tab/>
      </w:r>
      <w:r w:rsidR="00EA38DB">
        <w:rPr>
          <w:sz w:val="22"/>
          <w:szCs w:val="22"/>
        </w:rPr>
        <w:t>QoS</w:t>
      </w:r>
      <w:r w:rsidR="000F2CF5">
        <w:rPr>
          <w:sz w:val="22"/>
          <w:szCs w:val="22"/>
        </w:rPr>
        <w:t xml:space="preserve"> for </w:t>
      </w:r>
      <w:r w:rsidR="000B113D">
        <w:rPr>
          <w:sz w:val="22"/>
          <w:szCs w:val="22"/>
        </w:rPr>
        <w:t xml:space="preserve">PC5-based </w:t>
      </w:r>
      <w:r w:rsidR="000F2CF5">
        <w:rPr>
          <w:sz w:val="22"/>
          <w:szCs w:val="22"/>
        </w:rPr>
        <w:t>V2X</w:t>
      </w:r>
    </w:p>
    <w:p w14:paraId="5C087BC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706D">
        <w:rPr>
          <w:sz w:val="22"/>
          <w:szCs w:val="22"/>
        </w:rPr>
        <w:t>Discussion, Decision</w:t>
      </w:r>
    </w:p>
    <w:p w14:paraId="4C82A770" w14:textId="77777777" w:rsidR="00E90E49" w:rsidRPr="00CE0424" w:rsidRDefault="00E90E49" w:rsidP="00E90E49"/>
    <w:p w14:paraId="4B5E5B76" w14:textId="77777777" w:rsidR="00E90E49" w:rsidRPr="00CE0424" w:rsidRDefault="00E90E49" w:rsidP="00CE0424">
      <w:pPr>
        <w:pStyle w:val="Heading1"/>
      </w:pPr>
      <w:r w:rsidRPr="00CE0424">
        <w:t>Introduction</w:t>
      </w:r>
    </w:p>
    <w:p w14:paraId="1B7CBDF9" w14:textId="62B6CD21" w:rsidR="00FA6DDD" w:rsidRDefault="00FA6DDD" w:rsidP="00CE0424">
      <w:pPr>
        <w:pStyle w:val="BodyText"/>
      </w:pPr>
      <w:r>
        <w:t xml:space="preserve">At RAN2#95, the QoS for </w:t>
      </w:r>
      <w:r w:rsidR="001F67B1">
        <w:t xml:space="preserve">PC5-based </w:t>
      </w:r>
      <w:r>
        <w:t>V2X was discussed</w:t>
      </w:r>
      <w:r w:rsidR="001F6845">
        <w:t xml:space="preserve"> and an LS </w:t>
      </w:r>
      <w:r w:rsidR="001F6845">
        <w:fldChar w:fldCharType="begin"/>
      </w:r>
      <w:r w:rsidR="001F6845">
        <w:instrText xml:space="preserve"> REF _Ref462389192 \r \h </w:instrText>
      </w:r>
      <w:r w:rsidR="001F6845">
        <w:fldChar w:fldCharType="separate"/>
      </w:r>
      <w:r w:rsidR="00505824">
        <w:t>[1]</w:t>
      </w:r>
      <w:r w:rsidR="001F6845">
        <w:fldChar w:fldCharType="end"/>
      </w:r>
      <w:r w:rsidR="001F6845">
        <w:t xml:space="preserve"> was sent to SA1 and SA2.</w:t>
      </w:r>
    </w:p>
    <w:p w14:paraId="7DE7ADA8" w14:textId="7F51C2ED" w:rsidR="00D3005B" w:rsidRPr="00CE0424" w:rsidRDefault="001F6845" w:rsidP="00CE0424">
      <w:pPr>
        <w:pStyle w:val="BodyText"/>
      </w:pPr>
      <w:r>
        <w:t>SA2 has now provided a</w:t>
      </w:r>
      <w:r w:rsidR="00FA6DDD">
        <w:t xml:space="preserve"> reply LS </w:t>
      </w:r>
      <w:r w:rsidR="00FA6DDD">
        <w:fldChar w:fldCharType="begin"/>
      </w:r>
      <w:r w:rsidR="00FA6DDD">
        <w:instrText xml:space="preserve"> REF _Ref462386026 \r \h </w:instrText>
      </w:r>
      <w:r w:rsidR="00FA6DDD">
        <w:fldChar w:fldCharType="separate"/>
      </w:r>
      <w:r w:rsidR="00505824">
        <w:t>[2]</w:t>
      </w:r>
      <w:r w:rsidR="00FA6DDD">
        <w:fldChar w:fldCharType="end"/>
      </w:r>
      <w:r>
        <w:t>. This contribution draws conclusions based on the previous discussion and the reply LS from SA2.</w:t>
      </w:r>
    </w:p>
    <w:p w14:paraId="3BFE0689" w14:textId="0F102AB6" w:rsidR="001643A8" w:rsidRDefault="004000E8" w:rsidP="00CE0424">
      <w:pPr>
        <w:pStyle w:val="Heading1"/>
      </w:pPr>
      <w:bookmarkStart w:id="0" w:name="_Ref178064866"/>
      <w:r w:rsidRPr="00CE0424">
        <w:t>Discussion</w:t>
      </w:r>
      <w:bookmarkEnd w:id="0"/>
    </w:p>
    <w:p w14:paraId="7A43416F" w14:textId="3E1AFFFB" w:rsidR="00FA6DDD" w:rsidRDefault="00FA6DDD" w:rsidP="00FA6DDD">
      <w:r>
        <w:t>In</w:t>
      </w:r>
      <w:r w:rsidR="001F6845">
        <w:t xml:space="preserve"> the reply LS</w:t>
      </w:r>
      <w:r>
        <w:t xml:space="preserve"> </w:t>
      </w:r>
      <w:r>
        <w:fldChar w:fldCharType="begin"/>
      </w:r>
      <w:r>
        <w:instrText xml:space="preserve"> REF _Ref462386026 \r \h </w:instrText>
      </w:r>
      <w:r>
        <w:fldChar w:fldCharType="separate"/>
      </w:r>
      <w:r w:rsidR="00505824">
        <w:t>[2]</w:t>
      </w:r>
      <w:r>
        <w:fldChar w:fldCharType="end"/>
      </w:r>
      <w:r>
        <w:t xml:space="preserve">, SA2 </w:t>
      </w:r>
      <w:r w:rsidR="001F6845">
        <w:t xml:space="preserve">provides the following </w:t>
      </w:r>
      <w:r w:rsidR="00ED3AEB">
        <w:t>clarifications</w:t>
      </w:r>
      <w:r w:rsidR="001F6845">
        <w:t>:</w:t>
      </w:r>
    </w:p>
    <w:tbl>
      <w:tblPr>
        <w:tblStyle w:val="TableGrid"/>
        <w:tblW w:w="0" w:type="auto"/>
        <w:tblLook w:val="04A0" w:firstRow="1" w:lastRow="0" w:firstColumn="1" w:lastColumn="0" w:noHBand="0" w:noVBand="1"/>
      </w:tblPr>
      <w:tblGrid>
        <w:gridCol w:w="9779"/>
      </w:tblGrid>
      <w:tr w:rsidR="001F6845" w14:paraId="50D202B6" w14:textId="77777777" w:rsidTr="001F6845">
        <w:tc>
          <w:tcPr>
            <w:tcW w:w="9779" w:type="dxa"/>
          </w:tcPr>
          <w:p w14:paraId="68886D4B" w14:textId="77777777" w:rsidR="001F6845" w:rsidRDefault="001F6845" w:rsidP="001F6845">
            <w:pPr>
              <w:overflowPunct/>
              <w:autoSpaceDE/>
              <w:autoSpaceDN/>
              <w:adjustRightInd/>
              <w:ind w:leftChars="142" w:left="284"/>
              <w:jc w:val="left"/>
              <w:textAlignment w:val="auto"/>
              <w:rPr>
                <w:rFonts w:eastAsia="Malgun Gothic" w:cs="Arial"/>
                <w:lang w:eastAsia="ko-KR"/>
              </w:rPr>
            </w:pPr>
          </w:p>
          <w:p w14:paraId="5A7F2612" w14:textId="29276CDF" w:rsidR="001F6845" w:rsidRPr="001F6845" w:rsidRDefault="001F6845" w:rsidP="001F6845">
            <w:pPr>
              <w:overflowPunct/>
              <w:autoSpaceDE/>
              <w:autoSpaceDN/>
              <w:adjustRightInd/>
              <w:ind w:leftChars="142" w:left="284"/>
              <w:jc w:val="left"/>
              <w:textAlignment w:val="auto"/>
              <w:rPr>
                <w:rFonts w:eastAsia="Malgun Gothic" w:cs="Arial"/>
                <w:lang w:eastAsia="ko-KR"/>
              </w:rPr>
            </w:pPr>
            <w:r w:rsidRPr="001F6845">
              <w:rPr>
                <w:rFonts w:eastAsia="Malgun Gothic" w:cs="Arial"/>
                <w:lang w:eastAsia="ko-KR"/>
              </w:rPr>
              <w:t>Q</w:t>
            </w:r>
            <w:r w:rsidRPr="001F6845">
              <w:rPr>
                <w:rFonts w:eastAsia="Malgun Gothic" w:cs="Arial"/>
                <w:lang w:eastAsia="en-US"/>
              </w:rPr>
              <w:t>1) RAN2 kindly asks SA2 to take the above RAN2 agreements into account and to give feedback on whether the above RAN2 assumption on not enforcing AMBR for mode 2 is reasonable.</w:t>
            </w:r>
          </w:p>
          <w:p w14:paraId="5AE464A4" w14:textId="77777777" w:rsidR="001F6845" w:rsidRPr="001F6845" w:rsidRDefault="001F6845" w:rsidP="001F6845">
            <w:pPr>
              <w:overflowPunct/>
              <w:autoSpaceDE/>
              <w:autoSpaceDN/>
              <w:adjustRightInd/>
              <w:ind w:leftChars="142" w:left="284"/>
              <w:jc w:val="left"/>
              <w:textAlignment w:val="auto"/>
              <w:rPr>
                <w:rFonts w:eastAsia="SimSun" w:cs="Arial"/>
              </w:rPr>
            </w:pPr>
            <w:r w:rsidRPr="001F6845">
              <w:rPr>
                <w:rFonts w:eastAsia="Malgun Gothic" w:cs="Arial"/>
                <w:lang w:eastAsia="ko-KR"/>
              </w:rPr>
              <w:t>A1) SA2 confirms that enforcing UE-PC5-AMBR is not necessary for mode 2 operation.</w:t>
            </w:r>
            <w:r w:rsidRPr="001F6845">
              <w:rPr>
                <w:rFonts w:eastAsia="SimSun" w:cs="Arial"/>
              </w:rPr>
              <w:t xml:space="preserve"> This is because the network is not expected to control the amount of resources consum</w:t>
            </w:r>
            <w:r w:rsidRPr="001F6845">
              <w:rPr>
                <w:rFonts w:eastAsia="Malgun Gothic" w:cs="Arial"/>
                <w:lang w:eastAsia="ko-KR"/>
              </w:rPr>
              <w:t>ed</w:t>
            </w:r>
            <w:r w:rsidRPr="001F6845">
              <w:rPr>
                <w:rFonts w:eastAsia="SimSun" w:cs="Arial"/>
              </w:rPr>
              <w:t xml:space="preserve"> when the UE operates in mode 2.</w:t>
            </w:r>
          </w:p>
          <w:p w14:paraId="06F5DB32" w14:textId="77777777" w:rsidR="001F6845" w:rsidRPr="001F6845" w:rsidRDefault="001F6845" w:rsidP="001F6845">
            <w:pPr>
              <w:overflowPunct/>
              <w:autoSpaceDE/>
              <w:autoSpaceDN/>
              <w:adjustRightInd/>
              <w:ind w:leftChars="142" w:left="284"/>
              <w:jc w:val="left"/>
              <w:textAlignment w:val="auto"/>
              <w:rPr>
                <w:rFonts w:eastAsia="Malgun Gothic" w:cs="Arial"/>
                <w:lang w:eastAsia="ko-KR"/>
              </w:rPr>
            </w:pPr>
          </w:p>
          <w:p w14:paraId="20E6CB0F" w14:textId="77777777" w:rsidR="001F6845" w:rsidRPr="001F6845" w:rsidRDefault="001F6845" w:rsidP="001F6845">
            <w:pPr>
              <w:overflowPunct/>
              <w:autoSpaceDE/>
              <w:autoSpaceDN/>
              <w:adjustRightInd/>
              <w:ind w:leftChars="142" w:left="284"/>
              <w:jc w:val="left"/>
              <w:textAlignment w:val="auto"/>
              <w:rPr>
                <w:rFonts w:eastAsia="Malgun Gothic" w:cs="Arial"/>
                <w:lang w:eastAsia="ko-KR"/>
              </w:rPr>
            </w:pPr>
            <w:r w:rsidRPr="001F6845">
              <w:rPr>
                <w:rFonts w:eastAsia="Malgun Gothic" w:cs="Arial"/>
                <w:lang w:eastAsia="ko-KR"/>
              </w:rPr>
              <w:t xml:space="preserve">Q2) RAN2 kindly asks SA2 to give feedback on whether the upper layer provides PDB information in addition to PPPP, or if PPPP also implicitly indicates this information and how this is achieved for mode 2 operation. </w:t>
            </w:r>
          </w:p>
          <w:p w14:paraId="5108B346" w14:textId="77777777" w:rsidR="001F6845" w:rsidRPr="001F6845" w:rsidRDefault="001F6845" w:rsidP="001F6845">
            <w:pPr>
              <w:overflowPunct/>
              <w:autoSpaceDE/>
              <w:autoSpaceDN/>
              <w:adjustRightInd/>
              <w:ind w:leftChars="142" w:left="284"/>
              <w:jc w:val="left"/>
              <w:textAlignment w:val="auto"/>
              <w:rPr>
                <w:rFonts w:eastAsia="Malgun Gothic" w:cs="Arial"/>
                <w:lang w:eastAsia="ko-KR"/>
              </w:rPr>
            </w:pPr>
            <w:r w:rsidRPr="001F6845">
              <w:rPr>
                <w:rFonts w:eastAsia="Malgun Gothic" w:cs="Arial"/>
                <w:lang w:eastAsia="ko-KR"/>
              </w:rPr>
              <w:t xml:space="preserve">A2) SA2 considers the PDB as the latency requirement from the </w:t>
            </w:r>
            <w:r w:rsidRPr="001F6845">
              <w:rPr>
                <w:rFonts w:eastAsia="SimSun" w:cs="Arial"/>
              </w:rPr>
              <w:t xml:space="preserve">application layer (i.e. </w:t>
            </w:r>
            <w:r w:rsidRPr="001F6845">
              <w:rPr>
                <w:rFonts w:eastAsia="Malgun Gothic" w:cs="Arial"/>
                <w:lang w:eastAsia="ko-KR"/>
              </w:rPr>
              <w:t xml:space="preserve">20ms </w:t>
            </w:r>
            <w:r w:rsidRPr="001F6845">
              <w:rPr>
                <w:rFonts w:eastAsia="SimSun" w:cs="Arial"/>
              </w:rPr>
              <w:t>or</w:t>
            </w:r>
            <w:r w:rsidRPr="001F6845">
              <w:rPr>
                <w:rFonts w:eastAsia="Malgun Gothic" w:cs="Arial"/>
                <w:lang w:eastAsia="ko-KR"/>
              </w:rPr>
              <w:t xml:space="preserve"> 100ms</w:t>
            </w:r>
            <w:r w:rsidRPr="001F6845">
              <w:rPr>
                <w:rFonts w:eastAsia="SimSun" w:cs="Arial"/>
              </w:rPr>
              <w:t xml:space="preserve"> as defined in </w:t>
            </w:r>
            <w:r w:rsidRPr="001F6845">
              <w:rPr>
                <w:rFonts w:eastAsia="Malgun Gothic" w:cs="Arial"/>
                <w:lang w:eastAsia="ko-KR"/>
              </w:rPr>
              <w:t>TS 22.185</w:t>
            </w:r>
            <w:r w:rsidRPr="001F6845">
              <w:rPr>
                <w:rFonts w:eastAsia="SimSun" w:cs="Arial"/>
              </w:rPr>
              <w:t>)</w:t>
            </w:r>
            <w:r w:rsidRPr="001F6845">
              <w:rPr>
                <w:rFonts w:eastAsia="Malgun Gothic" w:cs="Arial"/>
                <w:lang w:eastAsia="ko-KR"/>
              </w:rPr>
              <w:t>.</w:t>
            </w:r>
            <w:r w:rsidRPr="001F6845">
              <w:rPr>
                <w:rFonts w:eastAsia="SimSun" w:cs="Arial"/>
              </w:rPr>
              <w:t xml:space="preserve"> The latency can be derived from PPPP by the AS layer, which is based on the mapping between the PPPP and latency provided by configuration to be defined in SA2</w:t>
            </w:r>
            <w:r w:rsidRPr="001F6845">
              <w:rPr>
                <w:rFonts w:eastAsia="Malgun Gothic" w:cs="Arial"/>
                <w:lang w:eastAsia="ko-KR"/>
              </w:rPr>
              <w:t>.</w:t>
            </w:r>
            <w:r w:rsidRPr="001F6845">
              <w:rPr>
                <w:rFonts w:eastAsia="SimSun" w:cs="Arial"/>
              </w:rPr>
              <w:t xml:space="preserve"> </w:t>
            </w:r>
          </w:p>
          <w:p w14:paraId="55D26071" w14:textId="77777777" w:rsidR="001F6845" w:rsidRPr="001F6845" w:rsidRDefault="001F6845" w:rsidP="001F6845">
            <w:pPr>
              <w:overflowPunct/>
              <w:autoSpaceDE/>
              <w:autoSpaceDN/>
              <w:adjustRightInd/>
              <w:jc w:val="left"/>
              <w:textAlignment w:val="auto"/>
              <w:rPr>
                <w:rFonts w:eastAsia="SimSun" w:cs="Arial"/>
              </w:rPr>
            </w:pPr>
          </w:p>
          <w:p w14:paraId="02CAAAFE" w14:textId="77777777" w:rsidR="001F6845" w:rsidRPr="001F6845" w:rsidRDefault="001F6845" w:rsidP="001F6845">
            <w:pPr>
              <w:overflowPunct/>
              <w:autoSpaceDE/>
              <w:autoSpaceDN/>
              <w:adjustRightInd/>
              <w:ind w:leftChars="142" w:left="284"/>
              <w:jc w:val="left"/>
              <w:textAlignment w:val="auto"/>
              <w:rPr>
                <w:rFonts w:eastAsia="Malgun Gothic" w:cs="Arial"/>
                <w:lang w:eastAsia="ko-KR"/>
              </w:rPr>
            </w:pPr>
            <w:r w:rsidRPr="001F6845">
              <w:rPr>
                <w:rFonts w:eastAsia="Malgun Gothic" w:cs="Arial"/>
                <w:lang w:eastAsia="ko-KR"/>
              </w:rPr>
              <w:t>Q3) RAN2 kindly asks SA2 to give feedback on whether the above RAN2 assumption on condition for V2X communication operation in limited service state is reasonable.</w:t>
            </w:r>
          </w:p>
          <w:p w14:paraId="340E80E1" w14:textId="77777777" w:rsidR="001F6845" w:rsidRPr="001F6845" w:rsidRDefault="001F6845" w:rsidP="001F6845">
            <w:pPr>
              <w:overflowPunct/>
              <w:autoSpaceDE/>
              <w:autoSpaceDN/>
              <w:adjustRightInd/>
              <w:spacing w:after="0"/>
              <w:ind w:leftChars="142" w:left="284"/>
              <w:jc w:val="left"/>
              <w:textAlignment w:val="auto"/>
              <w:rPr>
                <w:rFonts w:eastAsia="Malgun Gothic"/>
                <w:lang w:eastAsia="ko-KR"/>
              </w:rPr>
            </w:pPr>
            <w:r w:rsidRPr="001F6845">
              <w:rPr>
                <w:rFonts w:eastAsia="Malgun Gothic" w:cs="Arial"/>
                <w:lang w:eastAsia="ko-KR"/>
              </w:rPr>
              <w:t>A3) SA2 assumes that the V2X UE in limited service state shall follow the similar principles for the ProSe Direct Communication specified for ProSe-enabled Public Safety UEs set forth in clause 4.5.6 of TS 23.303. However, final confirmation needs to be made by SA1 from service perspective.</w:t>
            </w:r>
          </w:p>
          <w:p w14:paraId="7D8ACC71" w14:textId="77777777" w:rsidR="001F6845" w:rsidRDefault="001F6845" w:rsidP="00FA6DDD"/>
        </w:tc>
      </w:tr>
    </w:tbl>
    <w:p w14:paraId="653DB2B0" w14:textId="442003E8" w:rsidR="001F6845" w:rsidRDefault="001F6845" w:rsidP="00FA6DDD"/>
    <w:p w14:paraId="1B42ADA1" w14:textId="5A262FC5" w:rsidR="001F6845" w:rsidRDefault="001F6845" w:rsidP="00FA6DDD">
      <w:r>
        <w:t>Based on this reply, we can make the following observation</w:t>
      </w:r>
      <w:r w:rsidR="00ED3AEB">
        <w:t>s</w:t>
      </w:r>
      <w:r>
        <w:t>:</w:t>
      </w:r>
    </w:p>
    <w:p w14:paraId="5546AC00" w14:textId="3938967B" w:rsidR="001F6845" w:rsidRDefault="001F6845" w:rsidP="00D62CD5">
      <w:pPr>
        <w:pStyle w:val="Observation"/>
      </w:pPr>
      <w:bookmarkStart w:id="1" w:name="_Toc462384205"/>
      <w:bookmarkStart w:id="2" w:name="_Toc462389985"/>
      <w:bookmarkStart w:id="3" w:name="_Toc462759779"/>
      <w:bookmarkStart w:id="4" w:name="_Toc462920814"/>
      <w:bookmarkStart w:id="5" w:name="_Toc463043261"/>
      <w:bookmarkStart w:id="6" w:name="_Toc466045522"/>
      <w:bookmarkStart w:id="7" w:name="_Toc466067301"/>
      <w:bookmarkStart w:id="8" w:name="_Toc466067308"/>
      <w:bookmarkStart w:id="9" w:name="_Toc466067370"/>
      <w:bookmarkEnd w:id="1"/>
      <w:r>
        <w:t xml:space="preserve">For mode 1 operation (eNB scheduled mode), </w:t>
      </w:r>
      <w:r w:rsidR="00ED3AEB">
        <w:t>t</w:t>
      </w:r>
      <w:r>
        <w:t xml:space="preserve">he </w:t>
      </w:r>
      <w:r w:rsidR="00ED3AEB">
        <w:t>current mechanism (PPPP)</w:t>
      </w:r>
      <w:r>
        <w:t xml:space="preserve"> </w:t>
      </w:r>
      <w:r w:rsidR="00ED3AEB">
        <w:t xml:space="preserve">together with </w:t>
      </w:r>
      <w:r w:rsidR="00B037DB">
        <w:t>UE-PC5</w:t>
      </w:r>
      <w:r w:rsidR="00ED3AEB">
        <w:t xml:space="preserve">-AMBR fulfils the requirements for </w:t>
      </w:r>
      <w:r w:rsidR="001F67B1">
        <w:t xml:space="preserve">PC5-based </w:t>
      </w:r>
      <w:r w:rsidR="00ED3AEB">
        <w:t>V2X in the Rel-14 timeframe.</w:t>
      </w:r>
      <w:bookmarkEnd w:id="2"/>
      <w:bookmarkEnd w:id="3"/>
      <w:bookmarkEnd w:id="4"/>
      <w:bookmarkEnd w:id="5"/>
      <w:bookmarkEnd w:id="6"/>
      <w:bookmarkEnd w:id="7"/>
      <w:bookmarkEnd w:id="8"/>
      <w:bookmarkEnd w:id="9"/>
    </w:p>
    <w:p w14:paraId="1B4D7D07" w14:textId="1A438DB9" w:rsidR="00D62CD5" w:rsidRDefault="001F6845" w:rsidP="00D62CD5">
      <w:pPr>
        <w:pStyle w:val="Observation"/>
      </w:pPr>
      <w:bookmarkStart w:id="10" w:name="_Toc462389986"/>
      <w:bookmarkStart w:id="11" w:name="_Toc462759780"/>
      <w:bookmarkStart w:id="12" w:name="_Toc462920815"/>
      <w:bookmarkStart w:id="13" w:name="_Toc463043262"/>
      <w:bookmarkStart w:id="14" w:name="_Toc466045523"/>
      <w:bookmarkStart w:id="15" w:name="_Toc466067302"/>
      <w:bookmarkStart w:id="16" w:name="_Toc466067309"/>
      <w:bookmarkStart w:id="17" w:name="_Toc466067371"/>
      <w:r>
        <w:t>For mode 2 operation (UE autonomous mode)</w:t>
      </w:r>
      <w:r w:rsidR="00ED3AEB">
        <w:t xml:space="preserve"> the current mechanism (PPPP) fulfils the requirements for </w:t>
      </w:r>
      <w:r w:rsidR="001F67B1">
        <w:t xml:space="preserve">PC5-based </w:t>
      </w:r>
      <w:r w:rsidR="00ED3AEB">
        <w:t>V2X in the Rel-14 timeframe.</w:t>
      </w:r>
      <w:bookmarkEnd w:id="10"/>
      <w:bookmarkEnd w:id="11"/>
      <w:bookmarkEnd w:id="12"/>
      <w:bookmarkEnd w:id="13"/>
      <w:bookmarkEnd w:id="14"/>
      <w:bookmarkEnd w:id="15"/>
      <w:bookmarkEnd w:id="16"/>
      <w:bookmarkEnd w:id="17"/>
    </w:p>
    <w:p w14:paraId="49140F48" w14:textId="2ABF2CC3" w:rsidR="001F67B1" w:rsidRDefault="001F67B1" w:rsidP="00CE0424">
      <w:pPr>
        <w:pStyle w:val="BodyText"/>
      </w:pPr>
      <w:r>
        <w:lastRenderedPageBreak/>
        <w:t>While QoS improvements for direct communication over PC5 may be needed in for example a future scenario when sharing spectrum between different, independent, commercial applications using the sidelink, we think that no further QoS-related improvements are needed to support PC5-based V2X in the Rel-14 timeframe.</w:t>
      </w:r>
    </w:p>
    <w:p w14:paraId="06C2456C" w14:textId="5FA14655" w:rsidR="0027144F" w:rsidRPr="00CE0424" w:rsidRDefault="00ED3AEB" w:rsidP="00CE0424">
      <w:pPr>
        <w:pStyle w:val="BodyText"/>
      </w:pPr>
      <w:r>
        <w:t>We propose therefore:</w:t>
      </w:r>
    </w:p>
    <w:p w14:paraId="622E59AC" w14:textId="5D4F47B6" w:rsidR="003742AC" w:rsidRPr="00CE0424" w:rsidRDefault="00ED3AEB" w:rsidP="006E062C">
      <w:pPr>
        <w:pStyle w:val="Proposal"/>
      </w:pPr>
      <w:bookmarkStart w:id="18" w:name="_Toc347823621"/>
      <w:bookmarkStart w:id="19" w:name="_Toc347824073"/>
      <w:bookmarkStart w:id="20" w:name="_Toc347824246"/>
      <w:bookmarkStart w:id="21" w:name="_Toc462389988"/>
      <w:bookmarkStart w:id="22" w:name="_Toc462759781"/>
      <w:bookmarkStart w:id="23" w:name="_Toc462759854"/>
      <w:bookmarkStart w:id="24" w:name="_Toc462920816"/>
      <w:bookmarkStart w:id="25" w:name="_Toc463043265"/>
      <w:bookmarkStart w:id="26" w:name="_Toc466045525"/>
      <w:bookmarkStart w:id="27" w:name="_Toc466067303"/>
      <w:bookmarkStart w:id="28" w:name="_Toc466067310"/>
      <w:bookmarkStart w:id="29" w:name="_Toc466067374"/>
      <w:r>
        <w:t xml:space="preserve">RAN2 should conclude that </w:t>
      </w:r>
      <w:r w:rsidR="001F67B1">
        <w:t xml:space="preserve">the PPPP and </w:t>
      </w:r>
      <w:r w:rsidR="001B7A2F">
        <w:t>UE-</w:t>
      </w:r>
      <w:r w:rsidR="001F67B1">
        <w:t>PC5-AMBR</w:t>
      </w:r>
      <w:r w:rsidR="001F67B1" w:rsidRPr="001F67B1">
        <w:t xml:space="preserve"> are sufficient </w:t>
      </w:r>
      <w:r w:rsidR="001F67B1">
        <w:t xml:space="preserve">for PC5-based V2X in Rel-14 </w:t>
      </w:r>
      <w:r w:rsidR="001F67B1" w:rsidRPr="001F67B1">
        <w:t>and close this issue</w:t>
      </w:r>
      <w:r w:rsidR="00CC2011" w:rsidRPr="00A04F49">
        <w:t>.</w:t>
      </w:r>
      <w:bookmarkEnd w:id="18"/>
      <w:bookmarkEnd w:id="19"/>
      <w:bookmarkEnd w:id="20"/>
      <w:bookmarkEnd w:id="21"/>
      <w:bookmarkEnd w:id="22"/>
      <w:bookmarkEnd w:id="23"/>
      <w:bookmarkEnd w:id="24"/>
      <w:bookmarkEnd w:id="25"/>
      <w:bookmarkEnd w:id="26"/>
      <w:bookmarkEnd w:id="27"/>
      <w:bookmarkEnd w:id="28"/>
      <w:bookmarkEnd w:id="29"/>
    </w:p>
    <w:p w14:paraId="2732FBEB" w14:textId="77777777" w:rsidR="00C01F33" w:rsidRPr="00CE0424" w:rsidRDefault="00C01F33" w:rsidP="00CE0424">
      <w:pPr>
        <w:pStyle w:val="Heading1"/>
      </w:pPr>
      <w:r w:rsidRPr="00CE0424">
        <w:t>Conclusion</w:t>
      </w:r>
    </w:p>
    <w:p w14:paraId="45CE3C42" w14:textId="711CA62F" w:rsidR="00FF441D" w:rsidRDefault="00FF441D" w:rsidP="00FF441D">
      <w:r w:rsidRPr="00D1024A">
        <w:t xml:space="preserve">In section </w:t>
      </w:r>
      <w:r w:rsidR="00173183">
        <w:fldChar w:fldCharType="begin"/>
      </w:r>
      <w:r w:rsidR="00173183">
        <w:instrText xml:space="preserve"> REF _Ref178064866 \r \h </w:instrText>
      </w:r>
      <w:r w:rsidR="00173183">
        <w:fldChar w:fldCharType="separate"/>
      </w:r>
      <w:r w:rsidR="00173183">
        <w:t>2</w:t>
      </w:r>
      <w:r w:rsidR="00173183">
        <w:fldChar w:fldCharType="end"/>
      </w:r>
      <w:r w:rsidR="00173183">
        <w:t xml:space="preserve">, </w:t>
      </w:r>
      <w:r w:rsidRPr="00D1024A">
        <w:t>we made the following observations:</w:t>
      </w:r>
    </w:p>
    <w:p w14:paraId="0045C600" w14:textId="77777777" w:rsidR="007A79CB" w:rsidRDefault="00FF441D">
      <w:pPr>
        <w:pStyle w:val="TOC1"/>
        <w:rPr>
          <w:rFonts w:asciiTheme="minorHAnsi" w:eastAsiaTheme="minorEastAsia" w:hAnsiTheme="minorHAnsi" w:cstheme="minorBidi"/>
          <w:b w:val="0"/>
          <w:sz w:val="22"/>
          <w:lang w:eastAsia="en-US"/>
        </w:rPr>
      </w:pPr>
      <w:r w:rsidRPr="00D1024A">
        <w:rPr>
          <w:b w:val="0"/>
          <w:bCs/>
        </w:rPr>
        <w:fldChar w:fldCharType="begin"/>
      </w:r>
      <w:r w:rsidRPr="00D1024A">
        <w:rPr>
          <w:b w:val="0"/>
          <w:bCs/>
        </w:rPr>
        <w:instrText xml:space="preserve"> TOC \f \n \t "Observation,1" </w:instrText>
      </w:r>
      <w:r w:rsidRPr="00D1024A">
        <w:rPr>
          <w:b w:val="0"/>
          <w:bCs/>
        </w:rPr>
        <w:fldChar w:fldCharType="separate"/>
      </w:r>
      <w:r w:rsidR="007A79CB">
        <w:t>Observation 1</w:t>
      </w:r>
      <w:r w:rsidR="007A79CB">
        <w:rPr>
          <w:rFonts w:asciiTheme="minorHAnsi" w:eastAsiaTheme="minorEastAsia" w:hAnsiTheme="minorHAnsi" w:cstheme="minorBidi"/>
          <w:b w:val="0"/>
          <w:sz w:val="22"/>
          <w:lang w:eastAsia="en-US"/>
        </w:rPr>
        <w:tab/>
      </w:r>
      <w:r w:rsidR="007A79CB">
        <w:t>For mode 1 operation (eNB scheduled mode), the current mechanism (PPPP) together with UE-PC5-AMBR fulfils the requirements for PC5-based V2X in the Rel-14 timeframe.</w:t>
      </w:r>
    </w:p>
    <w:p w14:paraId="0FC99CAF" w14:textId="77777777" w:rsidR="007A79CB" w:rsidRDefault="007A79C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mode 2 operation (UE autonomous mode) the current mechanism (PPPP) fulfils the requirements for PC5-based V2X in the Rel-14 timeframe.</w:t>
      </w:r>
    </w:p>
    <w:p w14:paraId="03137FE4" w14:textId="728C026B" w:rsidR="00FF441D" w:rsidRPr="00436D24" w:rsidRDefault="00FF441D" w:rsidP="00FF441D">
      <w:pPr>
        <w:pStyle w:val="BodyText"/>
        <w:rPr>
          <w:b/>
          <w:bCs/>
          <w:highlight w:val="yellow"/>
        </w:rPr>
      </w:pPr>
      <w:r w:rsidRPr="00D1024A">
        <w:rPr>
          <w:b/>
          <w:bCs/>
        </w:rPr>
        <w:fldChar w:fldCharType="end"/>
      </w:r>
    </w:p>
    <w:p w14:paraId="1E1E019B" w14:textId="478AC23B" w:rsidR="00FF441D" w:rsidRDefault="00FF441D" w:rsidP="00FF441D">
      <w:r w:rsidRPr="00D1024A">
        <w:t>Bas</w:t>
      </w:r>
      <w:r>
        <w:t xml:space="preserve">ed on the discussion in section </w:t>
      </w:r>
      <w:r w:rsidR="00173183">
        <w:fldChar w:fldCharType="begin"/>
      </w:r>
      <w:r w:rsidR="00173183">
        <w:instrText xml:space="preserve"> REF _Ref178064866 \r \h </w:instrText>
      </w:r>
      <w:r w:rsidR="00173183">
        <w:fldChar w:fldCharType="separate"/>
      </w:r>
      <w:r w:rsidR="00173183">
        <w:t>2</w:t>
      </w:r>
      <w:r w:rsidR="00173183">
        <w:fldChar w:fldCharType="end"/>
      </w:r>
      <w:r w:rsidR="00173183">
        <w:t xml:space="preserve">, </w:t>
      </w:r>
      <w:r w:rsidRPr="00D1024A">
        <w:t>we propose the following:</w:t>
      </w:r>
    </w:p>
    <w:p w14:paraId="06FFBEF8" w14:textId="77777777" w:rsidR="007A79CB" w:rsidRDefault="00FF441D">
      <w:pPr>
        <w:pStyle w:val="TOC1"/>
        <w:rPr>
          <w:rFonts w:asciiTheme="minorHAnsi" w:eastAsiaTheme="minorEastAsia" w:hAnsiTheme="minorHAnsi" w:cstheme="minorBidi"/>
          <w:b w:val="0"/>
          <w:sz w:val="22"/>
          <w:lang w:eastAsia="en-US"/>
        </w:rPr>
      </w:pPr>
      <w:r w:rsidRPr="00D1024A">
        <w:rPr>
          <w:b w:val="0"/>
          <w:bCs/>
        </w:rPr>
        <w:fldChar w:fldCharType="begin"/>
      </w:r>
      <w:r w:rsidRPr="00D1024A">
        <w:rPr>
          <w:b w:val="0"/>
          <w:bCs/>
        </w:rPr>
        <w:instrText xml:space="preserve"> TOC \f \n \p " " \t "Proposal,1" </w:instrText>
      </w:r>
      <w:r w:rsidRPr="00D1024A">
        <w:rPr>
          <w:b w:val="0"/>
          <w:bCs/>
        </w:rPr>
        <w:fldChar w:fldCharType="separate"/>
      </w:r>
      <w:r w:rsidR="007A79CB">
        <w:t>Proposal 1</w:t>
      </w:r>
      <w:r w:rsidR="007A79CB">
        <w:rPr>
          <w:rFonts w:asciiTheme="minorHAnsi" w:eastAsiaTheme="minorEastAsia" w:hAnsiTheme="minorHAnsi" w:cstheme="minorBidi"/>
          <w:b w:val="0"/>
          <w:sz w:val="22"/>
          <w:lang w:eastAsia="en-US"/>
        </w:rPr>
        <w:tab/>
      </w:r>
      <w:r w:rsidR="007A79CB">
        <w:t>RAN2 should conclude that the PPPP and UE-PC5-AMBR are sufficient for PC5-based V2X in Rel-14 and close this issue.</w:t>
      </w:r>
    </w:p>
    <w:p w14:paraId="54983557" w14:textId="0EEF2233" w:rsidR="00C01F33" w:rsidRPr="00FF441D" w:rsidRDefault="00FF441D" w:rsidP="006E062C">
      <w:pPr>
        <w:rPr>
          <w:b/>
          <w:bCs/>
        </w:rPr>
      </w:pPr>
      <w:r w:rsidRPr="00D1024A">
        <w:rPr>
          <w:b/>
          <w:bCs/>
        </w:rPr>
        <w:fldChar w:fldCharType="end"/>
      </w:r>
      <w:bookmarkStart w:id="30" w:name="_GoBack"/>
      <w:bookmarkEnd w:id="30"/>
    </w:p>
    <w:p w14:paraId="6E4332E7" w14:textId="77777777" w:rsidR="00F507D1" w:rsidRPr="00CE0424" w:rsidRDefault="00F507D1" w:rsidP="00CE0424">
      <w:pPr>
        <w:pStyle w:val="Heading1"/>
      </w:pPr>
      <w:bookmarkStart w:id="31" w:name="_In-sequence_SDU_delivery"/>
      <w:bookmarkEnd w:id="31"/>
      <w:r w:rsidRPr="00CE0424">
        <w:t>References</w:t>
      </w:r>
    </w:p>
    <w:p w14:paraId="54B2BFF2" w14:textId="24A2EB03" w:rsidR="00FA6DDD" w:rsidRDefault="00FA6DDD" w:rsidP="001F6845">
      <w:pPr>
        <w:pStyle w:val="Reference"/>
      </w:pPr>
      <w:bookmarkStart w:id="32" w:name="_Ref462389192"/>
      <w:bookmarkStart w:id="33" w:name="_Ref174151459"/>
      <w:bookmarkStart w:id="34" w:name="_Ref189809556"/>
      <w:r w:rsidRPr="00FA6DDD">
        <w:t>R2-165773</w:t>
      </w:r>
      <w:r>
        <w:t xml:space="preserve">, </w:t>
      </w:r>
      <w:r w:rsidR="001F6845" w:rsidRPr="001F6845">
        <w:t>LS Response on QoS requirements for V2X</w:t>
      </w:r>
      <w:r w:rsidR="006A7FB0">
        <w:t>, So</w:t>
      </w:r>
      <w:r w:rsidR="001F6845">
        <w:t>urce 3GPP RAN2, 3GPP RAN2#95</w:t>
      </w:r>
      <w:bookmarkEnd w:id="32"/>
    </w:p>
    <w:p w14:paraId="507758D5" w14:textId="13EEB106" w:rsidR="003A7EF3" w:rsidRPr="00CE0424" w:rsidRDefault="001F6845" w:rsidP="00CE0424">
      <w:pPr>
        <w:pStyle w:val="Reference"/>
      </w:pPr>
      <w:bookmarkStart w:id="35" w:name="_Ref462386026"/>
      <w:r>
        <w:t>S2-</w:t>
      </w:r>
      <w:r w:rsidRPr="00FA6DDD">
        <w:t>164913</w:t>
      </w:r>
      <w:r>
        <w:t xml:space="preserve">, </w:t>
      </w:r>
      <w:r w:rsidRPr="00FA6DDD">
        <w:t>Reply LS on QoS requirements for V2X</w:t>
      </w:r>
      <w:r>
        <w:t xml:space="preserve">, Source 3GPP SA2, 3GPP </w:t>
      </w:r>
      <w:bookmarkEnd w:id="35"/>
      <w:r>
        <w:t>SA2#116bis</w:t>
      </w:r>
      <w:bookmarkEnd w:id="33"/>
      <w:bookmarkEnd w:id="34"/>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3E1A4" w14:textId="77777777" w:rsidR="00D867E5" w:rsidRDefault="00D867E5">
      <w:r>
        <w:separator/>
      </w:r>
    </w:p>
  </w:endnote>
  <w:endnote w:type="continuationSeparator" w:id="0">
    <w:p w14:paraId="322FC9AA" w14:textId="77777777" w:rsidR="00D867E5" w:rsidRDefault="00D86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125DB" w14:textId="7031619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79C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79C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4061F" w14:textId="77777777" w:rsidR="00D867E5" w:rsidRDefault="00D867E5">
      <w:r>
        <w:separator/>
      </w:r>
    </w:p>
  </w:footnote>
  <w:footnote w:type="continuationSeparator" w:id="0">
    <w:p w14:paraId="4AF914A9" w14:textId="77777777" w:rsidR="00D867E5" w:rsidRDefault="00D86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609C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0D0"/>
    <w:rsid w:val="00036BA1"/>
    <w:rsid w:val="000422E2"/>
    <w:rsid w:val="00042F22"/>
    <w:rsid w:val="000444EF"/>
    <w:rsid w:val="0004501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13D"/>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CF5"/>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183"/>
    <w:rsid w:val="00173A8E"/>
    <w:rsid w:val="00177795"/>
    <w:rsid w:val="0018143F"/>
    <w:rsid w:val="00190AC1"/>
    <w:rsid w:val="0019341A"/>
    <w:rsid w:val="00197DF9"/>
    <w:rsid w:val="001A1987"/>
    <w:rsid w:val="001A2564"/>
    <w:rsid w:val="001A6173"/>
    <w:rsid w:val="001A6CBA"/>
    <w:rsid w:val="001B0D97"/>
    <w:rsid w:val="001B5A5D"/>
    <w:rsid w:val="001B7A2F"/>
    <w:rsid w:val="001C1CE5"/>
    <w:rsid w:val="001C3D2A"/>
    <w:rsid w:val="001C6495"/>
    <w:rsid w:val="001D51BA"/>
    <w:rsid w:val="001D6342"/>
    <w:rsid w:val="001D6D53"/>
    <w:rsid w:val="001E58E2"/>
    <w:rsid w:val="001E7AED"/>
    <w:rsid w:val="001F3916"/>
    <w:rsid w:val="001F54C5"/>
    <w:rsid w:val="001F662C"/>
    <w:rsid w:val="001F67B1"/>
    <w:rsid w:val="001F6845"/>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D"/>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4AC3"/>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588D"/>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6A5"/>
    <w:rsid w:val="004F0B4E"/>
    <w:rsid w:val="004F0B6C"/>
    <w:rsid w:val="004F2078"/>
    <w:rsid w:val="004F4DA3"/>
    <w:rsid w:val="00505824"/>
    <w:rsid w:val="00506557"/>
    <w:rsid w:val="0050677A"/>
    <w:rsid w:val="005108D8"/>
    <w:rsid w:val="005116F9"/>
    <w:rsid w:val="005153A7"/>
    <w:rsid w:val="005219CF"/>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4AC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A7FB0"/>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9C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06D"/>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1DC"/>
    <w:rsid w:val="009572D4"/>
    <w:rsid w:val="00961921"/>
    <w:rsid w:val="0096430A"/>
    <w:rsid w:val="0096554B"/>
    <w:rsid w:val="0096584A"/>
    <w:rsid w:val="00971F08"/>
    <w:rsid w:val="0097603D"/>
    <w:rsid w:val="00976949"/>
    <w:rsid w:val="00977555"/>
    <w:rsid w:val="00980477"/>
    <w:rsid w:val="00985253"/>
    <w:rsid w:val="009853B3"/>
    <w:rsid w:val="00990630"/>
    <w:rsid w:val="00991761"/>
    <w:rsid w:val="00994DCA"/>
    <w:rsid w:val="009960EC"/>
    <w:rsid w:val="009970DD"/>
    <w:rsid w:val="009A0FBA"/>
    <w:rsid w:val="009A1601"/>
    <w:rsid w:val="009A462D"/>
    <w:rsid w:val="009A5CBA"/>
    <w:rsid w:val="009B1F30"/>
    <w:rsid w:val="009B2156"/>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7DB"/>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59A"/>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175"/>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7E5"/>
    <w:rsid w:val="00D86CA3"/>
    <w:rsid w:val="00D871CE"/>
    <w:rsid w:val="00D9196D"/>
    <w:rsid w:val="00D92982"/>
    <w:rsid w:val="00DA305E"/>
    <w:rsid w:val="00DA5007"/>
    <w:rsid w:val="00DA5417"/>
    <w:rsid w:val="00DA56E8"/>
    <w:rsid w:val="00DB0A9F"/>
    <w:rsid w:val="00DB377D"/>
    <w:rsid w:val="00DC2D36"/>
    <w:rsid w:val="00DC44E3"/>
    <w:rsid w:val="00DC53EF"/>
    <w:rsid w:val="00DE5608"/>
    <w:rsid w:val="00DE58D0"/>
    <w:rsid w:val="00DE654F"/>
    <w:rsid w:val="00DF0B6E"/>
    <w:rsid w:val="00DF15E0"/>
    <w:rsid w:val="00DF37A0"/>
    <w:rsid w:val="00E110E7"/>
    <w:rsid w:val="00E11B20"/>
    <w:rsid w:val="00E17FA2"/>
    <w:rsid w:val="00E22330"/>
    <w:rsid w:val="00E24008"/>
    <w:rsid w:val="00E30B5A"/>
    <w:rsid w:val="00E3123D"/>
    <w:rsid w:val="00E31461"/>
    <w:rsid w:val="00E31D43"/>
    <w:rsid w:val="00E32608"/>
    <w:rsid w:val="00E34188"/>
    <w:rsid w:val="00E345CD"/>
    <w:rsid w:val="00E34B6E"/>
    <w:rsid w:val="00E34BBD"/>
    <w:rsid w:val="00E35559"/>
    <w:rsid w:val="00E3723A"/>
    <w:rsid w:val="00E37860"/>
    <w:rsid w:val="00E446F1"/>
    <w:rsid w:val="00E46886"/>
    <w:rsid w:val="00E47AEF"/>
    <w:rsid w:val="00E53889"/>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DB"/>
    <w:rsid w:val="00EA7A41"/>
    <w:rsid w:val="00EB077B"/>
    <w:rsid w:val="00EB4EA2"/>
    <w:rsid w:val="00EC27C6"/>
    <w:rsid w:val="00EC4207"/>
    <w:rsid w:val="00EC5653"/>
    <w:rsid w:val="00EC60B5"/>
    <w:rsid w:val="00EC71CE"/>
    <w:rsid w:val="00ED1006"/>
    <w:rsid w:val="00ED3AEB"/>
    <w:rsid w:val="00EF18FE"/>
    <w:rsid w:val="00EF5787"/>
    <w:rsid w:val="00EF60D0"/>
    <w:rsid w:val="00F0528D"/>
    <w:rsid w:val="00F06C67"/>
    <w:rsid w:val="00F06DFD"/>
    <w:rsid w:val="00F071D1"/>
    <w:rsid w:val="00F07533"/>
    <w:rsid w:val="00F10629"/>
    <w:rsid w:val="00F15FA5"/>
    <w:rsid w:val="00F178EC"/>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4555"/>
    <w:rsid w:val="00FA6DDD"/>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41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7E143"/>
  <w15:docId w15:val="{87322A6E-C706-44CD-9B4D-3B42E196A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1F6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C374E-C750-421B-9843-17CAAA9E1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69</TotalTime>
  <Pages>2</Pages>
  <Words>543</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25</cp:revision>
  <cp:lastPrinted>2008-01-31T06:09:00Z</cp:lastPrinted>
  <dcterms:created xsi:type="dcterms:W3CDTF">2016-09-07T05:59:00Z</dcterms:created>
  <dcterms:modified xsi:type="dcterms:W3CDTF">2016-11-04T23:00:00Z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